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7A2E8A" w14:textId="1223881C" w:rsidR="003F3C31" w:rsidRPr="00135455" w:rsidRDefault="009C4579" w:rsidP="003F3C31">
      <w:pPr>
        <w:spacing w:line="360" w:lineRule="auto"/>
        <w:jc w:val="both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KREDYTOBIORCY ODZYSKAJĄ CO NAJMNIEJ 1,5 MLD ZŁOTYCH – EFEKTY DZIAŁAŃ UOKIK</w:t>
      </w:r>
    </w:p>
    <w:p w14:paraId="260687ED" w14:textId="5A290170" w:rsidR="00082147" w:rsidRPr="007929AF" w:rsidRDefault="00F1719F" w:rsidP="00164764">
      <w:pPr>
        <w:pStyle w:val="Akapitzlist"/>
        <w:numPr>
          <w:ilvl w:val="0"/>
          <w:numId w:val="10"/>
        </w:numPr>
        <w:spacing w:after="240" w:line="360" w:lineRule="auto"/>
        <w:jc w:val="both"/>
        <w:rPr>
          <w:b/>
          <w:sz w:val="22"/>
        </w:rPr>
      </w:pPr>
      <w:r w:rsidRPr="00C52FFC">
        <w:rPr>
          <w:b/>
          <w:sz w:val="22"/>
        </w:rPr>
        <w:t>1</w:t>
      </w:r>
      <w:r w:rsidR="00C52FFC" w:rsidRPr="00C52FFC">
        <w:rPr>
          <w:b/>
          <w:sz w:val="22"/>
        </w:rPr>
        <w:t>4</w:t>
      </w:r>
      <w:r w:rsidR="00BA427A" w:rsidRPr="007929AF">
        <w:rPr>
          <w:b/>
          <w:sz w:val="22"/>
        </w:rPr>
        <w:t xml:space="preserve"> </w:t>
      </w:r>
      <w:r w:rsidR="002E75A9">
        <w:rPr>
          <w:b/>
          <w:sz w:val="22"/>
        </w:rPr>
        <w:t xml:space="preserve">największych </w:t>
      </w:r>
      <w:r w:rsidR="00B83DE4" w:rsidRPr="007929AF">
        <w:rPr>
          <w:b/>
          <w:sz w:val="22"/>
        </w:rPr>
        <w:t xml:space="preserve">banków </w:t>
      </w:r>
      <w:r w:rsidR="009C42EF">
        <w:rPr>
          <w:b/>
          <w:sz w:val="22"/>
        </w:rPr>
        <w:t>stosuje</w:t>
      </w:r>
      <w:r w:rsidR="007408B3">
        <w:rPr>
          <w:b/>
          <w:sz w:val="22"/>
        </w:rPr>
        <w:t xml:space="preserve"> zwrot</w:t>
      </w:r>
      <w:r w:rsidR="0046683F">
        <w:rPr>
          <w:b/>
          <w:sz w:val="22"/>
        </w:rPr>
        <w:t xml:space="preserve"> pobranych </w:t>
      </w:r>
      <w:r w:rsidR="00C5027E">
        <w:rPr>
          <w:b/>
          <w:sz w:val="22"/>
        </w:rPr>
        <w:t xml:space="preserve">części </w:t>
      </w:r>
      <w:r w:rsidR="00B83DE4" w:rsidRPr="007929AF">
        <w:rPr>
          <w:b/>
          <w:sz w:val="22"/>
        </w:rPr>
        <w:t xml:space="preserve">opłat </w:t>
      </w:r>
      <w:r w:rsidR="0046683F">
        <w:rPr>
          <w:b/>
          <w:sz w:val="22"/>
        </w:rPr>
        <w:t>w przypadku wcześniejszej spłaty kredytu konsumenckiego</w:t>
      </w:r>
      <w:r w:rsidR="007408B3">
        <w:rPr>
          <w:b/>
          <w:sz w:val="22"/>
        </w:rPr>
        <w:t xml:space="preserve"> z zastosowaniem metody liniowej, postulowanej przez </w:t>
      </w:r>
      <w:r w:rsidR="009C42EF">
        <w:rPr>
          <w:b/>
          <w:sz w:val="22"/>
        </w:rPr>
        <w:t>Prezesa UOKiK</w:t>
      </w:r>
      <w:r w:rsidR="009C4579">
        <w:rPr>
          <w:b/>
          <w:sz w:val="22"/>
        </w:rPr>
        <w:t>.</w:t>
      </w:r>
      <w:r w:rsidR="004459ED">
        <w:rPr>
          <w:b/>
          <w:sz w:val="22"/>
        </w:rPr>
        <w:t xml:space="preserve"> </w:t>
      </w:r>
    </w:p>
    <w:p w14:paraId="136697CB" w14:textId="7228FABA" w:rsidR="007929AF" w:rsidRDefault="007929AF" w:rsidP="00B83DE4">
      <w:pPr>
        <w:pStyle w:val="Akapitzlist"/>
        <w:numPr>
          <w:ilvl w:val="0"/>
          <w:numId w:val="10"/>
        </w:num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 xml:space="preserve">Wejdź na </w:t>
      </w:r>
      <w:r w:rsidR="00A34948">
        <w:rPr>
          <w:b/>
          <w:sz w:val="22"/>
        </w:rPr>
        <w:t>finanse.</w:t>
      </w:r>
      <w:r>
        <w:rPr>
          <w:b/>
          <w:sz w:val="22"/>
        </w:rPr>
        <w:t xml:space="preserve">uokik.gov.pl i </w:t>
      </w:r>
      <w:r w:rsidR="0093155C">
        <w:rPr>
          <w:b/>
          <w:sz w:val="22"/>
        </w:rPr>
        <w:t>sprawdź na kalkulatorze UOKiK orientacyjną kwotę zwrotu</w:t>
      </w:r>
      <w:r w:rsidR="009C4579">
        <w:rPr>
          <w:b/>
          <w:sz w:val="22"/>
        </w:rPr>
        <w:t>.</w:t>
      </w:r>
    </w:p>
    <w:p w14:paraId="2F7BD468" w14:textId="3408E0DF" w:rsidR="007929AF" w:rsidRPr="00655083" w:rsidRDefault="007A0A5C" w:rsidP="00C5057E">
      <w:pPr>
        <w:spacing w:after="240" w:line="360" w:lineRule="auto"/>
        <w:jc w:val="both"/>
        <w:rPr>
          <w:sz w:val="22"/>
        </w:rPr>
      </w:pPr>
      <w:r>
        <w:rPr>
          <w:b/>
          <w:sz w:val="22"/>
        </w:rPr>
        <w:t>[Warszawa,</w:t>
      </w:r>
      <w:r w:rsidR="00136714">
        <w:rPr>
          <w:b/>
          <w:sz w:val="22"/>
        </w:rPr>
        <w:t xml:space="preserve"> </w:t>
      </w:r>
      <w:r w:rsidR="003112B2">
        <w:rPr>
          <w:b/>
          <w:sz w:val="22"/>
        </w:rPr>
        <w:t xml:space="preserve">10 </w:t>
      </w:r>
      <w:r w:rsidR="00A34948">
        <w:rPr>
          <w:b/>
          <w:sz w:val="22"/>
        </w:rPr>
        <w:t>lipca</w:t>
      </w:r>
      <w:r w:rsidR="00C5057E">
        <w:rPr>
          <w:b/>
          <w:sz w:val="22"/>
        </w:rPr>
        <w:t xml:space="preserve"> </w:t>
      </w:r>
      <w:r w:rsidR="002B6640">
        <w:rPr>
          <w:b/>
          <w:sz w:val="22"/>
        </w:rPr>
        <w:t>2020</w:t>
      </w:r>
      <w:r w:rsidR="0069527B">
        <w:rPr>
          <w:b/>
          <w:sz w:val="22"/>
        </w:rPr>
        <w:t xml:space="preserve"> r.] </w:t>
      </w:r>
      <w:r w:rsidR="009B4C89">
        <w:rPr>
          <w:sz w:val="22"/>
        </w:rPr>
        <w:t xml:space="preserve">Urząd Ochrony Konkurencji i Konsumentów już </w:t>
      </w:r>
      <w:hyperlink r:id="rId9" w:history="1">
        <w:r w:rsidR="009B4C89" w:rsidRPr="00A20F3C">
          <w:rPr>
            <w:rStyle w:val="Hipercze"/>
            <w:sz w:val="22"/>
          </w:rPr>
          <w:t>w 2016 r. wydał stanowisko</w:t>
        </w:r>
      </w:hyperlink>
      <w:r w:rsidR="009B4C89">
        <w:rPr>
          <w:sz w:val="22"/>
        </w:rPr>
        <w:t>, zgodnie z którym instytucja finansowa powinna rozliczyć się z klientem</w:t>
      </w:r>
      <w:r w:rsidR="0046683F">
        <w:rPr>
          <w:sz w:val="22"/>
        </w:rPr>
        <w:t xml:space="preserve"> w przypadku wcześniejszej spłaty kredytu konsumenckiego</w:t>
      </w:r>
      <w:r w:rsidR="000B05F6">
        <w:rPr>
          <w:sz w:val="22"/>
        </w:rPr>
        <w:t>. C</w:t>
      </w:r>
      <w:r w:rsidR="009B4C89">
        <w:rPr>
          <w:sz w:val="22"/>
        </w:rPr>
        <w:t>o więcej</w:t>
      </w:r>
      <w:r w:rsidR="000B05F6">
        <w:rPr>
          <w:sz w:val="22"/>
        </w:rPr>
        <w:t>,</w:t>
      </w:r>
      <w:r w:rsidR="009B4C89">
        <w:rPr>
          <w:sz w:val="22"/>
        </w:rPr>
        <w:t xml:space="preserve"> we wrześniu 2019 r.</w:t>
      </w:r>
      <w:r w:rsidR="000B05F6">
        <w:rPr>
          <w:sz w:val="22"/>
        </w:rPr>
        <w:t>,</w:t>
      </w:r>
      <w:r w:rsidR="009B4C89">
        <w:rPr>
          <w:sz w:val="22"/>
        </w:rPr>
        <w:t xml:space="preserve"> </w:t>
      </w:r>
      <w:r w:rsidR="00A20F3C">
        <w:rPr>
          <w:sz w:val="22"/>
        </w:rPr>
        <w:t>interpretację</w:t>
      </w:r>
      <w:r w:rsidR="009B4C89">
        <w:rPr>
          <w:sz w:val="22"/>
        </w:rPr>
        <w:t xml:space="preserve"> tę </w:t>
      </w:r>
      <w:hyperlink r:id="rId10" w:history="1">
        <w:r w:rsidR="00204109" w:rsidRPr="00204109">
          <w:rPr>
            <w:rStyle w:val="Hipercze"/>
            <w:sz w:val="22"/>
          </w:rPr>
          <w:t>potwierdził</w:t>
        </w:r>
        <w:r w:rsidR="009B4C89" w:rsidRPr="00204109">
          <w:rPr>
            <w:rStyle w:val="Hipercze"/>
            <w:sz w:val="22"/>
          </w:rPr>
          <w:t xml:space="preserve"> Trybunał Sprawiedliwości Unii Europejskiej</w:t>
        </w:r>
      </w:hyperlink>
      <w:r w:rsidR="00204109">
        <w:rPr>
          <w:sz w:val="22"/>
        </w:rPr>
        <w:t xml:space="preserve">. </w:t>
      </w:r>
      <w:r w:rsidR="007929AF">
        <w:rPr>
          <w:sz w:val="22"/>
        </w:rPr>
        <w:t xml:space="preserve">– </w:t>
      </w:r>
      <w:r w:rsidR="007929AF" w:rsidRPr="007929AF">
        <w:rPr>
          <w:i/>
          <w:sz w:val="22"/>
        </w:rPr>
        <w:t xml:space="preserve">Odbyłem wiele spotkań z branżą finansową, podczas których mówiłem o tym, że przy obliczaniu zwrotu powinno się stosować metodę liniową, która jest </w:t>
      </w:r>
      <w:r w:rsidR="007929AF" w:rsidRPr="007929AF">
        <w:rPr>
          <w:rFonts w:cs="Tahoma"/>
          <w:i/>
          <w:sz w:val="22"/>
          <w:shd w:val="clear" w:color="auto" w:fill="FFFFFF"/>
        </w:rPr>
        <w:t>zrozumiała dla konsumentów, przejrzysta i sprawiedliwa. Takie stanowisko przekazał</w:t>
      </w:r>
      <w:r w:rsidR="007929AF">
        <w:rPr>
          <w:rFonts w:cs="Tahoma"/>
          <w:i/>
          <w:sz w:val="22"/>
          <w:shd w:val="clear" w:color="auto" w:fill="FFFFFF"/>
        </w:rPr>
        <w:t xml:space="preserve">em </w:t>
      </w:r>
      <w:r w:rsidR="007929AF" w:rsidRPr="007929AF">
        <w:rPr>
          <w:rFonts w:cs="Tahoma"/>
          <w:i/>
          <w:sz w:val="22"/>
          <w:shd w:val="clear" w:color="auto" w:fill="FFFFFF"/>
        </w:rPr>
        <w:t xml:space="preserve">bankom </w:t>
      </w:r>
      <w:r w:rsidR="00AA6D4D">
        <w:rPr>
          <w:rFonts w:cs="Tahoma"/>
          <w:i/>
          <w:sz w:val="22"/>
          <w:shd w:val="clear" w:color="auto" w:fill="FFFFFF"/>
        </w:rPr>
        <w:t xml:space="preserve">i firmom pożyczkowym </w:t>
      </w:r>
      <w:r w:rsidR="007929AF" w:rsidRPr="007929AF">
        <w:rPr>
          <w:rFonts w:cs="Tahoma"/>
          <w:i/>
          <w:sz w:val="22"/>
          <w:shd w:val="clear" w:color="auto" w:fill="FFFFFF"/>
        </w:rPr>
        <w:t xml:space="preserve">w toku prowadzonych </w:t>
      </w:r>
      <w:r w:rsidR="006103FA">
        <w:rPr>
          <w:rFonts w:cs="Tahoma"/>
          <w:i/>
          <w:sz w:val="22"/>
          <w:shd w:val="clear" w:color="auto" w:fill="FFFFFF"/>
        </w:rPr>
        <w:t>działa</w:t>
      </w:r>
      <w:r w:rsidR="007929AF" w:rsidRPr="007929AF">
        <w:rPr>
          <w:rFonts w:cs="Tahoma"/>
          <w:i/>
          <w:sz w:val="22"/>
          <w:shd w:val="clear" w:color="auto" w:fill="FFFFFF"/>
        </w:rPr>
        <w:t xml:space="preserve">ń. </w:t>
      </w:r>
      <w:r w:rsidR="007408B3">
        <w:rPr>
          <w:rFonts w:cs="Tahoma"/>
          <w:i/>
          <w:sz w:val="22"/>
          <w:shd w:val="clear" w:color="auto" w:fill="FFFFFF"/>
        </w:rPr>
        <w:t>B</w:t>
      </w:r>
      <w:r w:rsidR="007929AF" w:rsidRPr="007929AF">
        <w:rPr>
          <w:rFonts w:cs="Tahoma"/>
          <w:i/>
          <w:sz w:val="22"/>
          <w:shd w:val="clear" w:color="auto" w:fill="FFFFFF"/>
        </w:rPr>
        <w:t xml:space="preserve">ranża </w:t>
      </w:r>
      <w:r w:rsidR="007408B3">
        <w:rPr>
          <w:rFonts w:cs="Tahoma"/>
          <w:i/>
          <w:sz w:val="22"/>
          <w:shd w:val="clear" w:color="auto" w:fill="FFFFFF"/>
        </w:rPr>
        <w:t>przyjęła postulowaną przez Urząd liniową metodę rozliczeń. K</w:t>
      </w:r>
      <w:r w:rsidR="007929AF" w:rsidRPr="007929AF">
        <w:rPr>
          <w:rFonts w:cs="Tahoma"/>
          <w:i/>
          <w:sz w:val="22"/>
          <w:shd w:val="clear" w:color="auto" w:fill="FFFFFF"/>
        </w:rPr>
        <w:t>onsumentów zachęcam do składania reklamacji</w:t>
      </w:r>
      <w:r w:rsidR="003D60A6">
        <w:rPr>
          <w:rFonts w:cs="Tahoma"/>
          <w:i/>
          <w:sz w:val="22"/>
          <w:shd w:val="clear" w:color="auto" w:fill="FFFFFF"/>
        </w:rPr>
        <w:t>,</w:t>
      </w:r>
      <w:r w:rsidR="0081303E">
        <w:rPr>
          <w:rFonts w:cs="Tahoma"/>
          <w:i/>
          <w:sz w:val="22"/>
          <w:shd w:val="clear" w:color="auto" w:fill="FFFFFF"/>
        </w:rPr>
        <w:t xml:space="preserve"> </w:t>
      </w:r>
      <w:r w:rsidR="007408B3">
        <w:rPr>
          <w:rFonts w:cs="Tahoma"/>
          <w:i/>
          <w:sz w:val="22"/>
          <w:shd w:val="clear" w:color="auto" w:fill="FFFFFF"/>
        </w:rPr>
        <w:t xml:space="preserve">aby jak najszybciej odzyskać pieniądze </w:t>
      </w:r>
      <w:r w:rsidR="007929AF">
        <w:rPr>
          <w:rFonts w:cs="Tahoma"/>
          <w:sz w:val="22"/>
          <w:shd w:val="clear" w:color="auto" w:fill="FFFFFF"/>
        </w:rPr>
        <w:t xml:space="preserve">– mówi Tomasz Chróstny, </w:t>
      </w:r>
      <w:r w:rsidR="009C42EF">
        <w:rPr>
          <w:rFonts w:cs="Tahoma"/>
          <w:sz w:val="22"/>
          <w:shd w:val="clear" w:color="auto" w:fill="FFFFFF"/>
        </w:rPr>
        <w:t>P</w:t>
      </w:r>
      <w:r w:rsidR="007929AF">
        <w:rPr>
          <w:rFonts w:cs="Tahoma"/>
          <w:sz w:val="22"/>
          <w:shd w:val="clear" w:color="auto" w:fill="FFFFFF"/>
        </w:rPr>
        <w:t>rezes UOKiK</w:t>
      </w:r>
      <w:r w:rsidR="007929AF" w:rsidRPr="00655083">
        <w:rPr>
          <w:rFonts w:cs="Tahoma"/>
          <w:sz w:val="22"/>
          <w:shd w:val="clear" w:color="auto" w:fill="FFFFFF"/>
        </w:rPr>
        <w:t xml:space="preserve">. </w:t>
      </w:r>
      <w:r w:rsidR="00655083" w:rsidRPr="00655083">
        <w:rPr>
          <w:sz w:val="22"/>
        </w:rPr>
        <w:t xml:space="preserve">Zgodnie z promowaną przez Urząd liniową metodą zwrotu środków, korzystną dla konsumentów, szacowana wartość zwrotu z sektora do konsumentów wyniesie </w:t>
      </w:r>
      <w:r w:rsidR="001E6CB0">
        <w:rPr>
          <w:sz w:val="22"/>
        </w:rPr>
        <w:t>co najmniej</w:t>
      </w:r>
      <w:r w:rsidR="00655083" w:rsidRPr="00655083">
        <w:rPr>
          <w:sz w:val="22"/>
        </w:rPr>
        <w:t xml:space="preserve"> 1,5 mld złotych</w:t>
      </w:r>
      <w:r w:rsidR="001E6CB0">
        <w:rPr>
          <w:sz w:val="22"/>
        </w:rPr>
        <w:t>.</w:t>
      </w:r>
    </w:p>
    <w:p w14:paraId="03DB3E98" w14:textId="53E19672" w:rsidR="00F1719F" w:rsidRDefault="007929AF" w:rsidP="00B84F6F">
      <w:pPr>
        <w:spacing w:after="240" w:line="360" w:lineRule="auto"/>
        <w:jc w:val="both"/>
        <w:rPr>
          <w:rFonts w:cs="Segoe UI"/>
          <w:color w:val="000000"/>
          <w:sz w:val="22"/>
        </w:rPr>
      </w:pPr>
      <w:r w:rsidRPr="00C52FFC">
        <w:rPr>
          <w:sz w:val="22"/>
        </w:rPr>
        <w:t xml:space="preserve">Klienci </w:t>
      </w:r>
      <w:r w:rsidR="00F1719F" w:rsidRPr="00C52FFC">
        <w:rPr>
          <w:sz w:val="22"/>
        </w:rPr>
        <w:t>1</w:t>
      </w:r>
      <w:r w:rsidR="00C52FFC" w:rsidRPr="00C52FFC">
        <w:rPr>
          <w:sz w:val="22"/>
        </w:rPr>
        <w:t>4</w:t>
      </w:r>
      <w:r w:rsidR="00BA427A" w:rsidRPr="00C52FFC">
        <w:rPr>
          <w:sz w:val="22"/>
        </w:rPr>
        <w:t xml:space="preserve"> </w:t>
      </w:r>
      <w:r w:rsidRPr="00C52FFC">
        <w:rPr>
          <w:sz w:val="22"/>
        </w:rPr>
        <w:t>banków</w:t>
      </w:r>
      <w:r w:rsidRPr="00B83DE4">
        <w:rPr>
          <w:sz w:val="22"/>
        </w:rPr>
        <w:t xml:space="preserve"> mogą liczyć </w:t>
      </w:r>
      <w:r w:rsidRPr="003928F6">
        <w:rPr>
          <w:sz w:val="22"/>
        </w:rPr>
        <w:t>na proporcjonalny zwrot opłat za wcześniej spłacony kredyt konsumencki lub pożyczkę</w:t>
      </w:r>
      <w:r w:rsidR="00AA6D4D" w:rsidRPr="003928F6">
        <w:rPr>
          <w:sz w:val="22"/>
        </w:rPr>
        <w:t xml:space="preserve"> zgodnie z </w:t>
      </w:r>
      <w:r w:rsidR="00AA6D4D" w:rsidRPr="00B84F6F">
        <w:rPr>
          <w:sz w:val="22"/>
        </w:rPr>
        <w:t>metodą liniową</w:t>
      </w:r>
      <w:r w:rsidRPr="00B84F6F">
        <w:rPr>
          <w:sz w:val="22"/>
        </w:rPr>
        <w:t>.</w:t>
      </w:r>
      <w:r w:rsidR="00AA6D4D" w:rsidRPr="00B84F6F">
        <w:rPr>
          <w:sz w:val="22"/>
        </w:rPr>
        <w:t xml:space="preserve"> </w:t>
      </w:r>
      <w:proofErr w:type="spellStart"/>
      <w:r w:rsidR="00AA6D4D" w:rsidRPr="003352BD">
        <w:rPr>
          <w:sz w:val="22"/>
          <w:lang w:val="en-US"/>
        </w:rPr>
        <w:t>Są</w:t>
      </w:r>
      <w:proofErr w:type="spellEnd"/>
      <w:r w:rsidR="00AA6D4D" w:rsidRPr="003352BD">
        <w:rPr>
          <w:sz w:val="22"/>
          <w:lang w:val="en-US"/>
        </w:rPr>
        <w:t xml:space="preserve"> to</w:t>
      </w:r>
      <w:r w:rsidR="009C42EF">
        <w:rPr>
          <w:sz w:val="22"/>
          <w:lang w:val="en-US"/>
        </w:rPr>
        <w:t xml:space="preserve"> (w </w:t>
      </w:r>
      <w:proofErr w:type="spellStart"/>
      <w:r w:rsidR="009C42EF">
        <w:rPr>
          <w:sz w:val="22"/>
          <w:lang w:val="en-US"/>
        </w:rPr>
        <w:t>kolejności</w:t>
      </w:r>
      <w:proofErr w:type="spellEnd"/>
      <w:r w:rsidR="009C42EF">
        <w:rPr>
          <w:sz w:val="22"/>
          <w:lang w:val="en-US"/>
        </w:rPr>
        <w:t xml:space="preserve"> </w:t>
      </w:r>
      <w:proofErr w:type="spellStart"/>
      <w:r w:rsidR="009C42EF">
        <w:rPr>
          <w:sz w:val="22"/>
          <w:lang w:val="en-US"/>
        </w:rPr>
        <w:t>alfabetycznej</w:t>
      </w:r>
      <w:proofErr w:type="spellEnd"/>
      <w:r w:rsidR="009C42EF">
        <w:rPr>
          <w:sz w:val="22"/>
          <w:lang w:val="en-US"/>
        </w:rPr>
        <w:t>)</w:t>
      </w:r>
      <w:r w:rsidR="00AA6D4D" w:rsidRPr="003352BD">
        <w:rPr>
          <w:sz w:val="22"/>
          <w:lang w:val="en-US"/>
        </w:rPr>
        <w:t xml:space="preserve">: </w:t>
      </w:r>
      <w:proofErr w:type="spellStart"/>
      <w:r w:rsidR="003928F6" w:rsidRPr="003352BD">
        <w:rPr>
          <w:rFonts w:cs="Arial"/>
          <w:b/>
          <w:sz w:val="22"/>
          <w:lang w:val="en-US"/>
        </w:rPr>
        <w:t>Alior</w:t>
      </w:r>
      <w:proofErr w:type="spellEnd"/>
      <w:r w:rsidR="003928F6" w:rsidRPr="003352BD">
        <w:rPr>
          <w:rFonts w:cs="Arial"/>
          <w:b/>
          <w:sz w:val="22"/>
          <w:lang w:val="en-US"/>
        </w:rPr>
        <w:t xml:space="preserve"> Bank, </w:t>
      </w:r>
      <w:r w:rsidR="0034668E" w:rsidRPr="0093155C">
        <w:rPr>
          <w:rFonts w:cs="Segoe UI"/>
          <w:b/>
          <w:color w:val="000000"/>
          <w:sz w:val="22"/>
        </w:rPr>
        <w:t xml:space="preserve">BNP </w:t>
      </w:r>
      <w:proofErr w:type="spellStart"/>
      <w:r w:rsidR="0034668E" w:rsidRPr="0093155C">
        <w:rPr>
          <w:rFonts w:cs="Segoe UI"/>
          <w:b/>
          <w:color w:val="000000"/>
          <w:sz w:val="22"/>
        </w:rPr>
        <w:t>Paribas</w:t>
      </w:r>
      <w:proofErr w:type="spellEnd"/>
      <w:r w:rsidR="0034668E">
        <w:rPr>
          <w:rFonts w:cs="Segoe UI"/>
          <w:b/>
          <w:color w:val="000000"/>
          <w:sz w:val="22"/>
        </w:rPr>
        <w:t>,</w:t>
      </w:r>
      <w:r w:rsidR="0034668E" w:rsidRPr="003352BD">
        <w:rPr>
          <w:b/>
          <w:sz w:val="22"/>
          <w:lang w:val="en-US"/>
        </w:rPr>
        <w:t xml:space="preserve"> </w:t>
      </w:r>
      <w:r w:rsidR="003928F6" w:rsidRPr="003352BD">
        <w:rPr>
          <w:b/>
          <w:sz w:val="22"/>
          <w:lang w:val="en-US"/>
        </w:rPr>
        <w:t xml:space="preserve">Credit </w:t>
      </w:r>
      <w:proofErr w:type="spellStart"/>
      <w:r w:rsidR="003928F6" w:rsidRPr="003352BD">
        <w:rPr>
          <w:b/>
          <w:sz w:val="22"/>
          <w:lang w:val="en-US"/>
        </w:rPr>
        <w:t>Agricole</w:t>
      </w:r>
      <w:proofErr w:type="spellEnd"/>
      <w:r w:rsidR="003928F6" w:rsidRPr="003352BD">
        <w:rPr>
          <w:b/>
          <w:sz w:val="22"/>
          <w:lang w:val="en-US"/>
        </w:rPr>
        <w:t xml:space="preserve"> Bank </w:t>
      </w:r>
      <w:proofErr w:type="spellStart"/>
      <w:r w:rsidR="003928F6" w:rsidRPr="003352BD">
        <w:rPr>
          <w:b/>
          <w:sz w:val="22"/>
          <w:lang w:val="en-US"/>
        </w:rPr>
        <w:t>Polska</w:t>
      </w:r>
      <w:proofErr w:type="spellEnd"/>
      <w:r w:rsidR="003928F6" w:rsidRPr="003352BD">
        <w:rPr>
          <w:b/>
          <w:sz w:val="22"/>
          <w:lang w:val="en-US"/>
        </w:rPr>
        <w:t>,</w:t>
      </w:r>
      <w:r w:rsidR="003928F6" w:rsidRPr="003352BD">
        <w:rPr>
          <w:rFonts w:cs="Arial"/>
          <w:sz w:val="22"/>
          <w:lang w:val="en-US"/>
        </w:rPr>
        <w:t xml:space="preserve"> </w:t>
      </w:r>
      <w:r w:rsidR="00C40E45" w:rsidRPr="00C40E45">
        <w:rPr>
          <w:rFonts w:cs="Segoe UI"/>
          <w:b/>
          <w:color w:val="000000"/>
          <w:sz w:val="22"/>
        </w:rPr>
        <w:t>Getin Noble Bank,</w:t>
      </w:r>
      <w:r w:rsidR="00C40E45">
        <w:rPr>
          <w:rFonts w:cs="Segoe UI"/>
          <w:color w:val="000000"/>
          <w:sz w:val="22"/>
        </w:rPr>
        <w:t xml:space="preserve"> </w:t>
      </w:r>
      <w:r w:rsidR="002765F3" w:rsidRPr="007959BA">
        <w:rPr>
          <w:b/>
          <w:sz w:val="22"/>
        </w:rPr>
        <w:t>Idea Bank,</w:t>
      </w:r>
      <w:r w:rsidR="002765F3" w:rsidRPr="007959BA">
        <w:rPr>
          <w:rFonts w:cs="Segoe UI"/>
          <w:b/>
          <w:color w:val="000000"/>
          <w:sz w:val="22"/>
        </w:rPr>
        <w:t xml:space="preserve"> </w:t>
      </w:r>
      <w:r w:rsidR="0034668E" w:rsidRPr="003352BD">
        <w:rPr>
          <w:rFonts w:cs="Arial"/>
          <w:b/>
          <w:sz w:val="22"/>
          <w:lang w:val="en-US"/>
        </w:rPr>
        <w:t xml:space="preserve">ING Bank </w:t>
      </w:r>
      <w:proofErr w:type="spellStart"/>
      <w:r w:rsidR="0034668E" w:rsidRPr="003352BD">
        <w:rPr>
          <w:rFonts w:cs="Arial"/>
          <w:b/>
          <w:sz w:val="22"/>
          <w:lang w:val="en-US"/>
        </w:rPr>
        <w:t>Śląski</w:t>
      </w:r>
      <w:proofErr w:type="spellEnd"/>
      <w:r w:rsidR="0034668E" w:rsidRPr="003352BD">
        <w:rPr>
          <w:rFonts w:cs="Arial"/>
          <w:b/>
          <w:sz w:val="22"/>
          <w:lang w:val="en-US"/>
        </w:rPr>
        <w:t>,</w:t>
      </w:r>
      <w:r w:rsidR="0034668E" w:rsidRPr="003352BD">
        <w:rPr>
          <w:rFonts w:cs="Arial"/>
          <w:sz w:val="22"/>
          <w:lang w:val="en-US"/>
        </w:rPr>
        <w:t xml:space="preserve"> </w:t>
      </w:r>
      <w:proofErr w:type="spellStart"/>
      <w:r w:rsidR="003928F6" w:rsidRPr="003352BD">
        <w:rPr>
          <w:rFonts w:cs="Arial"/>
          <w:b/>
          <w:sz w:val="22"/>
          <w:lang w:val="en-US"/>
        </w:rPr>
        <w:t>mBank</w:t>
      </w:r>
      <w:proofErr w:type="spellEnd"/>
      <w:r w:rsidR="003928F6" w:rsidRPr="003352BD">
        <w:rPr>
          <w:rFonts w:cs="Arial"/>
          <w:b/>
          <w:sz w:val="22"/>
          <w:lang w:val="en-US"/>
        </w:rPr>
        <w:t xml:space="preserve">, </w:t>
      </w:r>
      <w:r w:rsidR="0034668E" w:rsidRPr="0093155C">
        <w:rPr>
          <w:b/>
          <w:sz w:val="22"/>
        </w:rPr>
        <w:t xml:space="preserve">Millennium Bank, </w:t>
      </w:r>
      <w:r w:rsidR="003928F6" w:rsidRPr="003352BD">
        <w:rPr>
          <w:rFonts w:cs="Arial"/>
          <w:b/>
          <w:sz w:val="22"/>
          <w:lang w:val="en-US"/>
        </w:rPr>
        <w:t xml:space="preserve">Nest Bank, </w:t>
      </w:r>
      <w:r w:rsidR="003928F6" w:rsidRPr="003352BD">
        <w:rPr>
          <w:b/>
          <w:sz w:val="22"/>
          <w:lang w:val="en-US"/>
        </w:rPr>
        <w:t>PKO BP,</w:t>
      </w:r>
      <w:r w:rsidR="00B76F4D">
        <w:rPr>
          <w:b/>
          <w:sz w:val="22"/>
          <w:lang w:val="en-US"/>
        </w:rPr>
        <w:t xml:space="preserve"> </w:t>
      </w:r>
      <w:r w:rsidR="00AD3316" w:rsidRPr="00B76F4D">
        <w:rPr>
          <w:rFonts w:cs="Segoe UI"/>
          <w:b/>
          <w:color w:val="000000"/>
          <w:sz w:val="22"/>
        </w:rPr>
        <w:t>Pekao SA,</w:t>
      </w:r>
      <w:r w:rsidR="00AD3316" w:rsidRPr="0093155C">
        <w:rPr>
          <w:rFonts w:cs="Segoe UI"/>
          <w:b/>
          <w:color w:val="000000"/>
          <w:sz w:val="22"/>
        </w:rPr>
        <w:t xml:space="preserve"> </w:t>
      </w:r>
      <w:r w:rsidR="0034668E" w:rsidRPr="0093155C">
        <w:rPr>
          <w:rFonts w:cs="Segoe UI"/>
          <w:b/>
          <w:color w:val="000000"/>
          <w:sz w:val="22"/>
        </w:rPr>
        <w:t>Santander Bank Polska</w:t>
      </w:r>
      <w:r w:rsidR="0034668E">
        <w:rPr>
          <w:rFonts w:cs="Segoe UI"/>
          <w:b/>
          <w:color w:val="000000"/>
          <w:sz w:val="22"/>
        </w:rPr>
        <w:t>,</w:t>
      </w:r>
      <w:r w:rsidR="0034668E" w:rsidRPr="0093155C">
        <w:rPr>
          <w:rFonts w:cs="Segoe UI"/>
          <w:b/>
          <w:color w:val="000000"/>
          <w:sz w:val="22"/>
        </w:rPr>
        <w:t xml:space="preserve"> </w:t>
      </w:r>
      <w:r w:rsidR="003928F6" w:rsidRPr="003352BD">
        <w:rPr>
          <w:b/>
          <w:color w:val="000000" w:themeColor="text1"/>
          <w:spacing w:val="-2"/>
          <w:sz w:val="22"/>
          <w:lang w:val="en-US"/>
        </w:rPr>
        <w:t>Santander Consumer Bank</w:t>
      </w:r>
      <w:r w:rsidR="000B05F6">
        <w:rPr>
          <w:b/>
          <w:color w:val="000000" w:themeColor="text1"/>
          <w:spacing w:val="-2"/>
          <w:sz w:val="22"/>
          <w:lang w:val="en-US"/>
        </w:rPr>
        <w:t xml:space="preserve"> </w:t>
      </w:r>
      <w:r w:rsidR="00BA427A" w:rsidRPr="0093155C">
        <w:rPr>
          <w:rFonts w:cs="Segoe UI"/>
          <w:b/>
          <w:color w:val="000000"/>
          <w:sz w:val="22"/>
        </w:rPr>
        <w:t>i Volkswagen Bank Polska</w:t>
      </w:r>
      <w:r w:rsidR="003928F6" w:rsidRPr="00F1719F">
        <w:rPr>
          <w:rFonts w:cs="Arial"/>
          <w:b/>
          <w:sz w:val="22"/>
          <w:lang w:val="en-US"/>
        </w:rPr>
        <w:t>.</w:t>
      </w:r>
      <w:r w:rsidR="003928F6" w:rsidRPr="0093155C">
        <w:rPr>
          <w:b/>
          <w:sz w:val="22"/>
          <w:lang w:val="en-US"/>
        </w:rPr>
        <w:t xml:space="preserve"> </w:t>
      </w:r>
    </w:p>
    <w:p w14:paraId="1AC28381" w14:textId="51022C0A" w:rsidR="00571D91" w:rsidRPr="003112B2" w:rsidRDefault="00BA427A" w:rsidP="00B84F6F">
      <w:pPr>
        <w:spacing w:after="240" w:line="360" w:lineRule="auto"/>
        <w:jc w:val="both"/>
        <w:rPr>
          <w:rFonts w:cs="Tahoma"/>
          <w:sz w:val="22"/>
          <w:lang w:eastAsia="pl-PL"/>
        </w:rPr>
      </w:pPr>
      <w:r>
        <w:rPr>
          <w:rFonts w:cs="Segoe UI"/>
          <w:color w:val="000000"/>
          <w:sz w:val="22"/>
        </w:rPr>
        <w:t>Oczekujemy, że Plus Bank</w:t>
      </w:r>
      <w:r w:rsidR="00F1719F">
        <w:rPr>
          <w:rFonts w:cs="Segoe UI"/>
          <w:color w:val="000000"/>
          <w:sz w:val="22"/>
        </w:rPr>
        <w:t xml:space="preserve"> oraz Bank Handlowy </w:t>
      </w:r>
      <w:r w:rsidR="00F1719F" w:rsidRPr="003112B2">
        <w:rPr>
          <w:rFonts w:cs="Segoe UI"/>
          <w:color w:val="000000"/>
          <w:sz w:val="22"/>
        </w:rPr>
        <w:t xml:space="preserve">także </w:t>
      </w:r>
      <w:r w:rsidR="009C42EF">
        <w:rPr>
          <w:rFonts w:cs="Segoe UI"/>
          <w:color w:val="000000"/>
          <w:sz w:val="22"/>
        </w:rPr>
        <w:t xml:space="preserve">jak najszybciej </w:t>
      </w:r>
      <w:r w:rsidR="00F1719F" w:rsidRPr="003112B2">
        <w:rPr>
          <w:rFonts w:cs="Segoe UI"/>
          <w:color w:val="000000"/>
          <w:sz w:val="22"/>
        </w:rPr>
        <w:t xml:space="preserve">dostosują swoją praktykę do </w:t>
      </w:r>
      <w:r w:rsidR="009C42EF">
        <w:rPr>
          <w:rFonts w:cs="Segoe UI"/>
          <w:color w:val="000000"/>
          <w:sz w:val="22"/>
        </w:rPr>
        <w:t>zaleceń Urzędu</w:t>
      </w:r>
      <w:r w:rsidR="00F1719F" w:rsidRPr="003112B2">
        <w:rPr>
          <w:rFonts w:cs="Segoe UI"/>
          <w:color w:val="000000"/>
          <w:sz w:val="22"/>
        </w:rPr>
        <w:t xml:space="preserve">. </w:t>
      </w:r>
    </w:p>
    <w:p w14:paraId="5841E3C1" w14:textId="398B23C3" w:rsidR="00AA6D4D" w:rsidRDefault="00AA6D4D" w:rsidP="00571D91">
      <w:pPr>
        <w:spacing w:after="240" w:line="360" w:lineRule="auto"/>
        <w:jc w:val="both"/>
        <w:rPr>
          <w:rFonts w:cs="Tahoma"/>
          <w:sz w:val="22"/>
          <w:shd w:val="clear" w:color="auto" w:fill="FFFFFF"/>
        </w:rPr>
      </w:pPr>
      <w:r w:rsidRPr="00AA6D4D">
        <w:rPr>
          <w:rFonts w:cs="Tahoma"/>
          <w:b/>
          <w:sz w:val="22"/>
          <w:shd w:val="clear" w:color="auto" w:fill="FFFFFF"/>
        </w:rPr>
        <w:t>Metoda liniowa</w:t>
      </w:r>
      <w:r w:rsidRPr="00AA6D4D">
        <w:rPr>
          <w:rFonts w:cs="Tahoma"/>
          <w:sz w:val="22"/>
          <w:shd w:val="clear" w:color="auto" w:fill="FFFFFF"/>
        </w:rPr>
        <w:t xml:space="preserve"> polega na tym, że instytucja finansowa </w:t>
      </w:r>
      <w:r w:rsidRPr="00AA6D4D">
        <w:rPr>
          <w:rStyle w:val="Pogrubienie"/>
          <w:rFonts w:cs="Tahoma"/>
          <w:b w:val="0"/>
          <w:sz w:val="22"/>
          <w:shd w:val="clear" w:color="auto" w:fill="FFFFFF"/>
        </w:rPr>
        <w:t>dzieli wszystkie koszty przez liczbę dni kalendarzowych, w których miała obowiązywać umowa. Wynik mnoży przez liczbę dni, o które skrócono okres kredytowania i tę</w:t>
      </w:r>
      <w:r w:rsidR="007408B3">
        <w:rPr>
          <w:rStyle w:val="Pogrubienie"/>
          <w:rFonts w:cs="Tahoma"/>
          <w:b w:val="0"/>
          <w:sz w:val="22"/>
          <w:shd w:val="clear" w:color="auto" w:fill="FFFFFF"/>
        </w:rPr>
        <w:t xml:space="preserve"> kwotę</w:t>
      </w:r>
      <w:r w:rsidRPr="00AA6D4D">
        <w:rPr>
          <w:rStyle w:val="Pogrubienie"/>
          <w:rFonts w:cs="Tahoma"/>
          <w:b w:val="0"/>
          <w:sz w:val="22"/>
          <w:shd w:val="clear" w:color="auto" w:fill="FFFFFF"/>
        </w:rPr>
        <w:t xml:space="preserve"> powinna oddać konsumentowi</w:t>
      </w:r>
      <w:r w:rsidRPr="00AA6D4D">
        <w:rPr>
          <w:rFonts w:cs="Tahoma"/>
          <w:sz w:val="22"/>
          <w:shd w:val="clear" w:color="auto" w:fill="FFFFFF"/>
        </w:rPr>
        <w:t xml:space="preserve">. </w:t>
      </w:r>
    </w:p>
    <w:p w14:paraId="490327C8" w14:textId="6FAD9CAA" w:rsidR="00571D91" w:rsidRPr="002736E4" w:rsidRDefault="00AA6D4D" w:rsidP="00571D91">
      <w:pPr>
        <w:spacing w:after="240" w:line="360" w:lineRule="auto"/>
        <w:jc w:val="both"/>
        <w:rPr>
          <w:rFonts w:cs="Tahoma"/>
          <w:sz w:val="22"/>
          <w:shd w:val="clear" w:color="auto" w:fill="FFFFFF"/>
        </w:rPr>
      </w:pPr>
      <w:r>
        <w:rPr>
          <w:rFonts w:cs="Tahoma"/>
          <w:sz w:val="22"/>
          <w:shd w:val="clear" w:color="auto" w:fill="FFFFFF"/>
        </w:rPr>
        <w:lastRenderedPageBreak/>
        <w:t>Uwaga – możesz ubiegać się o zwrot spłaconego wcześniej kredytu konsumenckiego lub pożyczki, jeżeli zawarłeś umowę</w:t>
      </w:r>
      <w:r w:rsidRPr="00AA6D4D">
        <w:rPr>
          <w:rFonts w:cs="Tahoma"/>
          <w:sz w:val="22"/>
          <w:shd w:val="clear" w:color="auto" w:fill="FFFFFF"/>
        </w:rPr>
        <w:t xml:space="preserve"> po wejściu w życie ustawy o kredycie konsumenckim, tj. po 18 grudnia 2011 roku. </w:t>
      </w:r>
      <w:r>
        <w:rPr>
          <w:rFonts w:cs="Tahoma"/>
          <w:sz w:val="22"/>
          <w:shd w:val="clear" w:color="auto" w:fill="FFFFFF"/>
        </w:rPr>
        <w:t>T</w:t>
      </w:r>
      <w:r w:rsidRPr="00AA6D4D">
        <w:rPr>
          <w:rFonts w:cs="Tahoma"/>
          <w:sz w:val="22"/>
          <w:shd w:val="clear" w:color="auto" w:fill="FFFFFF"/>
        </w:rPr>
        <w:t>erminy przedawnienia roszczeń</w:t>
      </w:r>
      <w:r>
        <w:rPr>
          <w:rFonts w:cs="Tahoma"/>
          <w:sz w:val="22"/>
          <w:shd w:val="clear" w:color="auto" w:fill="FFFFFF"/>
        </w:rPr>
        <w:t xml:space="preserve"> wynoszą</w:t>
      </w:r>
      <w:r w:rsidR="002736E4">
        <w:rPr>
          <w:rFonts w:cs="Tahoma"/>
          <w:sz w:val="22"/>
          <w:shd w:val="clear" w:color="auto" w:fill="FFFFFF"/>
        </w:rPr>
        <w:t xml:space="preserve"> </w:t>
      </w:r>
      <w:r w:rsidR="002736E4" w:rsidRPr="002736E4">
        <w:rPr>
          <w:sz w:val="22"/>
        </w:rPr>
        <w:t xml:space="preserve">10 lat dla spłat dokonanych przed 9 lipca 2018 r., 6 lat dla spłat dokonanych </w:t>
      </w:r>
      <w:r w:rsidR="002736E4">
        <w:rPr>
          <w:sz w:val="22"/>
        </w:rPr>
        <w:t>po tej dacie</w:t>
      </w:r>
      <w:r w:rsidRPr="002736E4">
        <w:rPr>
          <w:rFonts w:cs="Tahoma"/>
          <w:sz w:val="22"/>
          <w:shd w:val="clear" w:color="auto" w:fill="FFFFFF"/>
        </w:rPr>
        <w:t>.</w:t>
      </w:r>
    </w:p>
    <w:p w14:paraId="7036715D" w14:textId="5E3DE956" w:rsidR="00AA6D4D" w:rsidRDefault="00AA6D4D" w:rsidP="00571D91">
      <w:pPr>
        <w:spacing w:after="240" w:line="360" w:lineRule="auto"/>
        <w:jc w:val="both"/>
        <w:rPr>
          <w:rFonts w:cs="Tahoma"/>
          <w:sz w:val="22"/>
          <w:shd w:val="clear" w:color="auto" w:fill="FFFFFF"/>
        </w:rPr>
      </w:pPr>
      <w:r>
        <w:rPr>
          <w:rFonts w:cs="Tahoma"/>
          <w:sz w:val="22"/>
          <w:shd w:val="clear" w:color="auto" w:fill="FFFFFF"/>
        </w:rPr>
        <w:t xml:space="preserve">Przygotowaliśmy </w:t>
      </w:r>
      <w:hyperlink r:id="rId11" w:history="1">
        <w:r w:rsidRPr="00B82B48">
          <w:rPr>
            <w:rStyle w:val="Hipercze"/>
            <w:rFonts w:cs="Tahoma"/>
            <w:b/>
            <w:sz w:val="22"/>
            <w:shd w:val="clear" w:color="auto" w:fill="FFFFFF"/>
          </w:rPr>
          <w:t>kalkulator kredytowy</w:t>
        </w:r>
      </w:hyperlink>
      <w:r>
        <w:rPr>
          <w:rFonts w:cs="Tahoma"/>
          <w:sz w:val="22"/>
          <w:shd w:val="clear" w:color="auto" w:fill="FFFFFF"/>
        </w:rPr>
        <w:t xml:space="preserve">, który pomoże ci wyliczyć orientacyjną kwotę do zwrotu według metody liniowej. Ubiegając się o zwrot, możesz skorzystać z </w:t>
      </w:r>
      <w:r w:rsidRPr="00AA6D4D">
        <w:rPr>
          <w:rFonts w:cs="Tahoma"/>
          <w:b/>
          <w:sz w:val="22"/>
          <w:shd w:val="clear" w:color="auto" w:fill="FFFFFF"/>
        </w:rPr>
        <w:t xml:space="preserve">gotowego </w:t>
      </w:r>
      <w:hyperlink r:id="rId12" w:history="1">
        <w:r w:rsidRPr="00B82B48">
          <w:rPr>
            <w:rStyle w:val="Hipercze"/>
            <w:rFonts w:cs="Tahoma"/>
            <w:b/>
            <w:sz w:val="22"/>
            <w:shd w:val="clear" w:color="auto" w:fill="FFFFFF"/>
          </w:rPr>
          <w:t>formularza</w:t>
        </w:r>
      </w:hyperlink>
      <w:r>
        <w:rPr>
          <w:rFonts w:cs="Tahoma"/>
          <w:sz w:val="22"/>
          <w:shd w:val="clear" w:color="auto" w:fill="FFFFFF"/>
        </w:rPr>
        <w:t xml:space="preserve"> i wysłać go instytucji finansowej. </w:t>
      </w:r>
    </w:p>
    <w:p w14:paraId="64BC2851" w14:textId="60528B4B" w:rsidR="00A20F3C" w:rsidRPr="00AA6D4D" w:rsidRDefault="00A20F3C" w:rsidP="00571D91">
      <w:pPr>
        <w:spacing w:after="240" w:line="360" w:lineRule="auto"/>
        <w:jc w:val="both"/>
        <w:rPr>
          <w:rFonts w:cs="Tahoma"/>
          <w:sz w:val="22"/>
          <w:shd w:val="clear" w:color="auto" w:fill="FFFFFF"/>
        </w:rPr>
      </w:pPr>
      <w:r>
        <w:rPr>
          <w:rFonts w:cs="Tahoma"/>
          <w:sz w:val="22"/>
          <w:shd w:val="clear" w:color="auto" w:fill="FFFFFF"/>
        </w:rPr>
        <w:t xml:space="preserve">Ponadto </w:t>
      </w:r>
      <w:r w:rsidR="002E0FB9">
        <w:rPr>
          <w:rFonts w:cs="Tahoma"/>
          <w:sz w:val="22"/>
          <w:shd w:val="clear" w:color="auto" w:fill="FFFFFF"/>
        </w:rPr>
        <w:t>zachęcamy do lektury</w:t>
      </w:r>
      <w:r>
        <w:rPr>
          <w:rFonts w:cs="Tahoma"/>
          <w:sz w:val="22"/>
          <w:shd w:val="clear" w:color="auto" w:fill="FFFFFF"/>
        </w:rPr>
        <w:t xml:space="preserve"> stanowisk</w:t>
      </w:r>
      <w:r w:rsidR="002E0FB9">
        <w:rPr>
          <w:rFonts w:cs="Tahoma"/>
          <w:sz w:val="22"/>
          <w:shd w:val="clear" w:color="auto" w:fill="FFFFFF"/>
        </w:rPr>
        <w:t>a</w:t>
      </w:r>
      <w:r>
        <w:rPr>
          <w:rFonts w:cs="Tahoma"/>
          <w:sz w:val="22"/>
          <w:shd w:val="clear" w:color="auto" w:fill="FFFFFF"/>
        </w:rPr>
        <w:t xml:space="preserve"> UOKiK </w:t>
      </w:r>
      <w:r w:rsidR="0001031D">
        <w:rPr>
          <w:rFonts w:cs="Tahoma"/>
          <w:sz w:val="22"/>
          <w:shd w:val="clear" w:color="auto" w:fill="FFFFFF"/>
        </w:rPr>
        <w:t xml:space="preserve">z </w:t>
      </w:r>
      <w:r w:rsidR="00F1719F">
        <w:rPr>
          <w:rFonts w:cs="Tahoma"/>
          <w:sz w:val="22"/>
          <w:shd w:val="clear" w:color="auto" w:fill="FFFFFF"/>
        </w:rPr>
        <w:t xml:space="preserve">2 </w:t>
      </w:r>
      <w:r w:rsidR="0001031D">
        <w:rPr>
          <w:rFonts w:cs="Tahoma"/>
          <w:sz w:val="22"/>
          <w:shd w:val="clear" w:color="auto" w:fill="FFFFFF"/>
        </w:rPr>
        <w:t>marca 2020 r.</w:t>
      </w:r>
      <w:r w:rsidR="002E0FB9">
        <w:rPr>
          <w:rFonts w:cs="Tahoma"/>
          <w:sz w:val="22"/>
          <w:shd w:val="clear" w:color="auto" w:fill="FFFFFF"/>
        </w:rPr>
        <w:t>, które jest</w:t>
      </w:r>
      <w:r w:rsidR="0001031D">
        <w:rPr>
          <w:rFonts w:cs="Tahoma"/>
          <w:sz w:val="22"/>
          <w:shd w:val="clear" w:color="auto" w:fill="FFFFFF"/>
        </w:rPr>
        <w:t xml:space="preserve"> dostępne na stronie </w:t>
      </w:r>
      <w:hyperlink r:id="rId13" w:history="1">
        <w:r w:rsidR="0001031D" w:rsidRPr="0001031D">
          <w:rPr>
            <w:rStyle w:val="Hipercze"/>
            <w:rFonts w:cs="Tahoma"/>
            <w:sz w:val="22"/>
            <w:shd w:val="clear" w:color="auto" w:fill="FFFFFF"/>
          </w:rPr>
          <w:t>finanse.uokik.gov.pl</w:t>
        </w:r>
      </w:hyperlink>
      <w:r w:rsidR="0001031D">
        <w:rPr>
          <w:rFonts w:cs="Tahoma"/>
          <w:sz w:val="22"/>
          <w:shd w:val="clear" w:color="auto" w:fill="FFFFFF"/>
        </w:rPr>
        <w:t xml:space="preserve">. </w:t>
      </w:r>
    </w:p>
    <w:sectPr w:rsidR="00A20F3C" w:rsidRPr="00AA6D4D" w:rsidSect="008D527A">
      <w:headerReference w:type="default" r:id="rId14"/>
      <w:footerReference w:type="default" r:id="rId15"/>
      <w:pgSz w:w="11906" w:h="16838"/>
      <w:pgMar w:top="2127" w:right="1417" w:bottom="2127" w:left="1417" w:header="708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B3D0E7" w14:textId="77777777" w:rsidR="00FD1F92" w:rsidRDefault="00FD1F92">
      <w:r>
        <w:separator/>
      </w:r>
    </w:p>
  </w:endnote>
  <w:endnote w:type="continuationSeparator" w:id="0">
    <w:p w14:paraId="7CDA6AD7" w14:textId="77777777" w:rsidR="00FD1F92" w:rsidRDefault="00FD1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EE"/>
    <w:family w:val="swiss"/>
    <w:pitch w:val="variable"/>
    <w:sig w:usb0="E00002FF" w:usb1="4000E4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3CA107" w14:textId="77777777" w:rsidR="0059016B" w:rsidRPr="00924ABC" w:rsidRDefault="003F3C31" w:rsidP="008D527A">
    <w:pPr>
      <w:pStyle w:val="Stopka"/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</w:pPr>
    <w:r>
      <w:rPr>
        <w:noProof/>
        <w:lang w:val="pl-PL" w:eastAsia="pl-PL"/>
      </w:rPr>
      <w:drawing>
        <wp:anchor distT="0" distB="0" distL="114300" distR="114300" simplePos="0" relativeHeight="251659264" behindDoc="1" locked="0" layoutInCell="1" allowOverlap="1" wp14:anchorId="15ADDEAC" wp14:editId="4A441FBC">
          <wp:simplePos x="0" y="0"/>
          <wp:positionH relativeFrom="column">
            <wp:posOffset>5062855</wp:posOffset>
          </wp:positionH>
          <wp:positionV relativeFrom="paragraph">
            <wp:posOffset>-169545</wp:posOffset>
          </wp:positionV>
          <wp:extent cx="695325" cy="695325"/>
          <wp:effectExtent l="0" t="0" r="9525" b="9525"/>
          <wp:wrapNone/>
          <wp:docPr id="1" name="Obraz 1" descr="fotolia_640439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otolia_6404394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527A" w:rsidRPr="004C1243">
      <w:rPr>
        <w:rFonts w:ascii="Segoe UI Semibold" w:hAnsi="Segoe UI Semibold" w:cs="Segoe UI Semibold"/>
        <w:noProof/>
        <w:color w:val="595959" w:themeColor="text1" w:themeTint="A6"/>
        <w:sz w:val="16"/>
        <w:szCs w:val="16"/>
        <w:lang w:val="pl-PL" w:eastAsia="pl-PL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3282526E" wp14:editId="4CA1055A">
              <wp:simplePos x="0" y="0"/>
              <wp:positionH relativeFrom="margin">
                <wp:posOffset>3710305</wp:posOffset>
              </wp:positionH>
              <wp:positionV relativeFrom="paragraph">
                <wp:posOffset>-88265</wp:posOffset>
              </wp:positionV>
              <wp:extent cx="1323975" cy="543560"/>
              <wp:effectExtent l="0" t="0" r="28575" b="2794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975" cy="543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E76B06" w14:textId="77777777" w:rsidR="004C1243" w:rsidRPr="006A2065" w:rsidRDefault="004C1243" w:rsidP="004C1243">
                          <w:pPr>
                            <w:spacing w:before="100" w:beforeAutospacing="1"/>
                            <w:ind w:right="-113"/>
                            <w:jc w:val="right"/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</w:pPr>
                          <w:r w:rsidRPr="006A2065"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  <w:t>KOMUNIKAT</w:t>
                          </w:r>
                          <w:r w:rsidRPr="006A2065"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  <w:br/>
                            <w:t>PRASOWY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<w:pict>
            <v:shapetype w14:anchorId="3282526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92.15pt;margin-top:-6.95pt;width:104.25pt;height:42.8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" strokecolor="white [3212]">
              <v:textbox>
                <w:txbxContent>
                  <w:p w14:paraId="7BE76B06" w14:textId="77777777" w:rsidR="004C1243" w:rsidRPr="006A2065" w:rsidRDefault="004C1243" w:rsidP="004C1243">
                    <w:pPr>
                      <w:spacing w:before="100" w:beforeAutospacing="1"/>
                      <w:ind w:right="-113"/>
                      <w:jc w:val="right"/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</w:pPr>
                    <w:r w:rsidRPr="006A2065"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  <w:t>KOMUNIKAT</w:t>
                    </w:r>
                    <w:r w:rsidRPr="006A2065"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  <w:br/>
                      <w:t>PRASOWY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D527A" w:rsidRPr="00A53423">
      <w:rPr>
        <w:rFonts w:ascii="Segoe UI Semibold" w:hAnsi="Segoe UI Semibold" w:cs="Segoe UI Semibold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8571ACC" wp14:editId="20ABDA6E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<w:pict>
            <v:line w14:anchorId="3B83560A" id="Łącznik prosty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2</w: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2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 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088</w:t>
    </w:r>
  </w:p>
  <w:p w14:paraId="59FA5CF0" w14:textId="77777777" w:rsidR="0059016B" w:rsidRPr="00A53423" w:rsidRDefault="00C21071" w:rsidP="008D527A">
    <w:pPr>
      <w:pStyle w:val="TEKSTKOMUNIKATU"/>
      <w:spacing w:after="120" w:line="240" w:lineRule="auto"/>
      <w:jc w:val="left"/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</w:pP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Biuro Prasowe  UOKiK  Pl. Powstańców Warszawy 1, 00-950 Warszawa </w: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br/>
    </w: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E-mail: </w:t>
    </w:r>
    <w:hyperlink r:id="rId2" w:history="1">
      <w:r w:rsidR="008C53D0" w:rsidRPr="00A53423">
        <w:rPr>
          <w:rStyle w:val="Hipercze"/>
          <w:rFonts w:ascii="Segoe UI Semibold" w:hAnsi="Segoe UI Semibold" w:cs="Segoe UI Semibold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 </w:t>
    </w: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Twitter: </w:t>
    </w:r>
    <w:hyperlink r:id="rId3" w:history="1">
      <w:r w:rsidRPr="00A53423">
        <w:rPr>
          <w:rStyle w:val="Hipercze"/>
          <w:rFonts w:ascii="Segoe UI Semibold" w:hAnsi="Segoe UI Semibold" w:cs="Segoe UI Semibold"/>
          <w:color w:val="595959" w:themeColor="text1" w:themeTint="A6"/>
          <w:sz w:val="16"/>
          <w:szCs w:val="16"/>
          <w:lang w:val="pl-PL"/>
        </w:rPr>
        <w:t>@</w:t>
      </w:r>
      <w:proofErr w:type="spellStart"/>
      <w:r w:rsidRPr="00A53423">
        <w:rPr>
          <w:rStyle w:val="u-linkcomplex-target"/>
          <w:rFonts w:ascii="Segoe UI Semibold" w:hAnsi="Segoe UI Semibold" w:cs="Segoe UI Semibold"/>
          <w:color w:val="595959" w:themeColor="text1" w:themeTint="A6"/>
          <w:sz w:val="16"/>
          <w:szCs w:val="16"/>
          <w:u w:val="single"/>
          <w:lang w:val="pl-PL"/>
        </w:rPr>
        <w:t>UOKiKgovPL</w:t>
      </w:r>
      <w:proofErr w:type="spellEnd"/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0CFADC" w14:textId="77777777" w:rsidR="00FD1F92" w:rsidRDefault="00FD1F92">
      <w:r>
        <w:separator/>
      </w:r>
    </w:p>
  </w:footnote>
  <w:footnote w:type="continuationSeparator" w:id="0">
    <w:p w14:paraId="28837970" w14:textId="77777777" w:rsidR="00FD1F92" w:rsidRDefault="00FD1F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327A47" w14:textId="77777777" w:rsidR="0059016B" w:rsidRDefault="00C21071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anchor distT="0" distB="0" distL="114300" distR="114300" simplePos="0" relativeHeight="251656192" behindDoc="0" locked="0" layoutInCell="1" allowOverlap="1" wp14:anchorId="1BD8CB27" wp14:editId="66F665D7">
          <wp:simplePos x="0" y="0"/>
          <wp:positionH relativeFrom="column">
            <wp:posOffset>-28575</wp:posOffset>
          </wp:positionH>
          <wp:positionV relativeFrom="paragraph">
            <wp:posOffset>-105410</wp:posOffset>
          </wp:positionV>
          <wp:extent cx="1485900" cy="534670"/>
          <wp:effectExtent l="0" t="0" r="0" b="0"/>
          <wp:wrapNone/>
          <wp:docPr id="19" name="Picture 4" descr="logo uokik PL-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" descr="logo uokik PL-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14:paraId="6A89C67D" w14:textId="77777777" w:rsidR="0059016B" w:rsidRDefault="00FD1F92" w:rsidP="0041396E">
    <w:pPr>
      <w:pStyle w:val="Nagwek"/>
      <w:tabs>
        <w:tab w:val="clear" w:pos="9072"/>
      </w:tabs>
    </w:pPr>
  </w:p>
  <w:p w14:paraId="42909B4D" w14:textId="77777777" w:rsidR="0059016B" w:rsidRDefault="00FD1F92" w:rsidP="0041396E">
    <w:pPr>
      <w:pStyle w:val="Nagwek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004B73"/>
    <w:multiLevelType w:val="multilevel"/>
    <w:tmpl w:val="A4D4D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66716C"/>
    <w:multiLevelType w:val="hybridMultilevel"/>
    <w:tmpl w:val="089E03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FF60CC"/>
    <w:multiLevelType w:val="hybridMultilevel"/>
    <w:tmpl w:val="5A5E55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BB11E6"/>
    <w:multiLevelType w:val="hybridMultilevel"/>
    <w:tmpl w:val="8E34E1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8"/>
  </w:num>
  <w:num w:numId="5">
    <w:abstractNumId w:val="3"/>
  </w:num>
  <w:num w:numId="6">
    <w:abstractNumId w:val="7"/>
  </w:num>
  <w:num w:numId="7">
    <w:abstractNumId w:val="1"/>
  </w:num>
  <w:num w:numId="8">
    <w:abstractNumId w:val="9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9FA"/>
    <w:rsid w:val="000018D7"/>
    <w:rsid w:val="00002C19"/>
    <w:rsid w:val="000035A0"/>
    <w:rsid w:val="00004AB2"/>
    <w:rsid w:val="0000713A"/>
    <w:rsid w:val="00007E00"/>
    <w:rsid w:val="0001031D"/>
    <w:rsid w:val="00011AF2"/>
    <w:rsid w:val="00023634"/>
    <w:rsid w:val="00042F96"/>
    <w:rsid w:val="0005050A"/>
    <w:rsid w:val="00052274"/>
    <w:rsid w:val="00061526"/>
    <w:rsid w:val="000651E9"/>
    <w:rsid w:val="000715E6"/>
    <w:rsid w:val="00073AA7"/>
    <w:rsid w:val="00082147"/>
    <w:rsid w:val="00083CBD"/>
    <w:rsid w:val="00091C1F"/>
    <w:rsid w:val="000A74FA"/>
    <w:rsid w:val="000B05F6"/>
    <w:rsid w:val="000B149D"/>
    <w:rsid w:val="000B1AC5"/>
    <w:rsid w:val="000B709F"/>
    <w:rsid w:val="000B7247"/>
    <w:rsid w:val="000C7A51"/>
    <w:rsid w:val="000D1D47"/>
    <w:rsid w:val="000D6647"/>
    <w:rsid w:val="000E0E48"/>
    <w:rsid w:val="000E6F07"/>
    <w:rsid w:val="0010475A"/>
    <w:rsid w:val="0010559C"/>
    <w:rsid w:val="00107844"/>
    <w:rsid w:val="001129AD"/>
    <w:rsid w:val="00113708"/>
    <w:rsid w:val="00120FBD"/>
    <w:rsid w:val="0012424D"/>
    <w:rsid w:val="0013159A"/>
    <w:rsid w:val="00131D51"/>
    <w:rsid w:val="00134D9E"/>
    <w:rsid w:val="00135455"/>
    <w:rsid w:val="00136714"/>
    <w:rsid w:val="00143310"/>
    <w:rsid w:val="00143E5A"/>
    <w:rsid w:val="00144E9C"/>
    <w:rsid w:val="0014568F"/>
    <w:rsid w:val="00161094"/>
    <w:rsid w:val="00163DF9"/>
    <w:rsid w:val="001665C7"/>
    <w:rsid w:val="001666D6"/>
    <w:rsid w:val="00166B5D"/>
    <w:rsid w:val="001675EF"/>
    <w:rsid w:val="0017028A"/>
    <w:rsid w:val="00177F38"/>
    <w:rsid w:val="00190040"/>
    <w:rsid w:val="00190D5A"/>
    <w:rsid w:val="001979B5"/>
    <w:rsid w:val="001A5F7C"/>
    <w:rsid w:val="001A6E5B"/>
    <w:rsid w:val="001A7451"/>
    <w:rsid w:val="001C1187"/>
    <w:rsid w:val="001C1FAD"/>
    <w:rsid w:val="001E188E"/>
    <w:rsid w:val="001E4F92"/>
    <w:rsid w:val="001E6CB0"/>
    <w:rsid w:val="001F4A73"/>
    <w:rsid w:val="00204109"/>
    <w:rsid w:val="00205580"/>
    <w:rsid w:val="002157BB"/>
    <w:rsid w:val="002262B5"/>
    <w:rsid w:val="0023138D"/>
    <w:rsid w:val="0024118E"/>
    <w:rsid w:val="00241BAC"/>
    <w:rsid w:val="00260382"/>
    <w:rsid w:val="00266CB4"/>
    <w:rsid w:val="00267DD1"/>
    <w:rsid w:val="002736E4"/>
    <w:rsid w:val="002765F3"/>
    <w:rsid w:val="002801AA"/>
    <w:rsid w:val="0029292E"/>
    <w:rsid w:val="00292D38"/>
    <w:rsid w:val="00295B34"/>
    <w:rsid w:val="00295B55"/>
    <w:rsid w:val="002A5D69"/>
    <w:rsid w:val="002B1DBF"/>
    <w:rsid w:val="002B6640"/>
    <w:rsid w:val="002C035E"/>
    <w:rsid w:val="002C0D5D"/>
    <w:rsid w:val="002C235D"/>
    <w:rsid w:val="002C692D"/>
    <w:rsid w:val="002C6ABE"/>
    <w:rsid w:val="002E0FB9"/>
    <w:rsid w:val="002E388C"/>
    <w:rsid w:val="002E75A9"/>
    <w:rsid w:val="002F1BF3"/>
    <w:rsid w:val="002F2118"/>
    <w:rsid w:val="002F4D43"/>
    <w:rsid w:val="00302A12"/>
    <w:rsid w:val="003056C6"/>
    <w:rsid w:val="003112B2"/>
    <w:rsid w:val="00311B14"/>
    <w:rsid w:val="00324306"/>
    <w:rsid w:val="00326A49"/>
    <w:rsid w:val="003278D6"/>
    <w:rsid w:val="003303F0"/>
    <w:rsid w:val="003352BD"/>
    <w:rsid w:val="0034059B"/>
    <w:rsid w:val="00343094"/>
    <w:rsid w:val="00344D94"/>
    <w:rsid w:val="0034668E"/>
    <w:rsid w:val="0035019C"/>
    <w:rsid w:val="00352586"/>
    <w:rsid w:val="00360248"/>
    <w:rsid w:val="00366A46"/>
    <w:rsid w:val="00377A0D"/>
    <w:rsid w:val="0038677D"/>
    <w:rsid w:val="003928F6"/>
    <w:rsid w:val="003A4A69"/>
    <w:rsid w:val="003D3FF4"/>
    <w:rsid w:val="003D60A6"/>
    <w:rsid w:val="003D61F2"/>
    <w:rsid w:val="003D7161"/>
    <w:rsid w:val="003D7B69"/>
    <w:rsid w:val="003E3F9D"/>
    <w:rsid w:val="003E69E5"/>
    <w:rsid w:val="003F3C31"/>
    <w:rsid w:val="0040748E"/>
    <w:rsid w:val="00412206"/>
    <w:rsid w:val="00423F92"/>
    <w:rsid w:val="00427E08"/>
    <w:rsid w:val="004349BA"/>
    <w:rsid w:val="0043575C"/>
    <w:rsid w:val="004365C7"/>
    <w:rsid w:val="00436DF6"/>
    <w:rsid w:val="00437609"/>
    <w:rsid w:val="004425B7"/>
    <w:rsid w:val="00444A85"/>
    <w:rsid w:val="004459ED"/>
    <w:rsid w:val="00462CFA"/>
    <w:rsid w:val="0046683F"/>
    <w:rsid w:val="0047315F"/>
    <w:rsid w:val="00486DB1"/>
    <w:rsid w:val="00493E10"/>
    <w:rsid w:val="004944F7"/>
    <w:rsid w:val="004972E8"/>
    <w:rsid w:val="004C0F9E"/>
    <w:rsid w:val="004C1243"/>
    <w:rsid w:val="004C5C26"/>
    <w:rsid w:val="004D214B"/>
    <w:rsid w:val="004F7E99"/>
    <w:rsid w:val="005003F9"/>
    <w:rsid w:val="0050417B"/>
    <w:rsid w:val="005133CE"/>
    <w:rsid w:val="00521BA3"/>
    <w:rsid w:val="00523E0D"/>
    <w:rsid w:val="00525588"/>
    <w:rsid w:val="0052710E"/>
    <w:rsid w:val="005442FC"/>
    <w:rsid w:val="00551011"/>
    <w:rsid w:val="0055631D"/>
    <w:rsid w:val="00571D91"/>
    <w:rsid w:val="00583276"/>
    <w:rsid w:val="0059219A"/>
    <w:rsid w:val="00593935"/>
    <w:rsid w:val="00595636"/>
    <w:rsid w:val="005973FD"/>
    <w:rsid w:val="00597C68"/>
    <w:rsid w:val="005A0B3A"/>
    <w:rsid w:val="005A382B"/>
    <w:rsid w:val="005A4047"/>
    <w:rsid w:val="005C0D39"/>
    <w:rsid w:val="005C6232"/>
    <w:rsid w:val="005D6F7A"/>
    <w:rsid w:val="005D71EB"/>
    <w:rsid w:val="005E78EE"/>
    <w:rsid w:val="005F139F"/>
    <w:rsid w:val="005F1EBD"/>
    <w:rsid w:val="006063D0"/>
    <w:rsid w:val="006103FA"/>
    <w:rsid w:val="00613BD2"/>
    <w:rsid w:val="00613C45"/>
    <w:rsid w:val="0062000D"/>
    <w:rsid w:val="00633D4E"/>
    <w:rsid w:val="0063526F"/>
    <w:rsid w:val="00637E86"/>
    <w:rsid w:val="006422DE"/>
    <w:rsid w:val="006439FA"/>
    <w:rsid w:val="00655083"/>
    <w:rsid w:val="0067485D"/>
    <w:rsid w:val="0069527B"/>
    <w:rsid w:val="00696DB2"/>
    <w:rsid w:val="006A2065"/>
    <w:rsid w:val="006A3D88"/>
    <w:rsid w:val="006A4A7A"/>
    <w:rsid w:val="006B0848"/>
    <w:rsid w:val="006B628A"/>
    <w:rsid w:val="006B733D"/>
    <w:rsid w:val="006C34AE"/>
    <w:rsid w:val="006C67AF"/>
    <w:rsid w:val="006D3DC5"/>
    <w:rsid w:val="006E023A"/>
    <w:rsid w:val="006F00D1"/>
    <w:rsid w:val="006F143B"/>
    <w:rsid w:val="007039EC"/>
    <w:rsid w:val="007043F3"/>
    <w:rsid w:val="0071572D"/>
    <w:rsid w:val="007157BA"/>
    <w:rsid w:val="007169F9"/>
    <w:rsid w:val="007174A6"/>
    <w:rsid w:val="007224B3"/>
    <w:rsid w:val="00722B4A"/>
    <w:rsid w:val="0072524C"/>
    <w:rsid w:val="00731303"/>
    <w:rsid w:val="00733EB7"/>
    <w:rsid w:val="00740042"/>
    <w:rsid w:val="007402E0"/>
    <w:rsid w:val="007408B3"/>
    <w:rsid w:val="0074489D"/>
    <w:rsid w:val="00750DA4"/>
    <w:rsid w:val="007514AD"/>
    <w:rsid w:val="0075524D"/>
    <w:rsid w:val="007560B0"/>
    <w:rsid w:val="007627D7"/>
    <w:rsid w:val="00776C4F"/>
    <w:rsid w:val="007838E4"/>
    <w:rsid w:val="007846DC"/>
    <w:rsid w:val="00787F97"/>
    <w:rsid w:val="007929AF"/>
    <w:rsid w:val="007A0A5C"/>
    <w:rsid w:val="007A19D8"/>
    <w:rsid w:val="007A1DA1"/>
    <w:rsid w:val="007B309F"/>
    <w:rsid w:val="007B7A18"/>
    <w:rsid w:val="007C5447"/>
    <w:rsid w:val="007D62ED"/>
    <w:rsid w:val="007E36E4"/>
    <w:rsid w:val="007F0346"/>
    <w:rsid w:val="007F0ACE"/>
    <w:rsid w:val="007F7BEF"/>
    <w:rsid w:val="00804024"/>
    <w:rsid w:val="0081303E"/>
    <w:rsid w:val="0081753E"/>
    <w:rsid w:val="00836BDE"/>
    <w:rsid w:val="0084239D"/>
    <w:rsid w:val="0085010E"/>
    <w:rsid w:val="0085454F"/>
    <w:rsid w:val="00855B96"/>
    <w:rsid w:val="00862BA9"/>
    <w:rsid w:val="00863DEC"/>
    <w:rsid w:val="008713FC"/>
    <w:rsid w:val="0087354F"/>
    <w:rsid w:val="00874A84"/>
    <w:rsid w:val="00882D34"/>
    <w:rsid w:val="0089603B"/>
    <w:rsid w:val="00896985"/>
    <w:rsid w:val="008C45B5"/>
    <w:rsid w:val="008C53D0"/>
    <w:rsid w:val="008C5D7A"/>
    <w:rsid w:val="008D527A"/>
    <w:rsid w:val="008D56DA"/>
    <w:rsid w:val="008D5771"/>
    <w:rsid w:val="008F472E"/>
    <w:rsid w:val="00902556"/>
    <w:rsid w:val="0090338C"/>
    <w:rsid w:val="0091048E"/>
    <w:rsid w:val="00913E83"/>
    <w:rsid w:val="00924ABC"/>
    <w:rsid w:val="0093155C"/>
    <w:rsid w:val="00934386"/>
    <w:rsid w:val="00940E8F"/>
    <w:rsid w:val="0095309C"/>
    <w:rsid w:val="009652F2"/>
    <w:rsid w:val="009719ED"/>
    <w:rsid w:val="00986C37"/>
    <w:rsid w:val="009935C9"/>
    <w:rsid w:val="00997528"/>
    <w:rsid w:val="0099796A"/>
    <w:rsid w:val="009A463F"/>
    <w:rsid w:val="009B1C15"/>
    <w:rsid w:val="009B4C89"/>
    <w:rsid w:val="009C1346"/>
    <w:rsid w:val="009C42EF"/>
    <w:rsid w:val="009C4579"/>
    <w:rsid w:val="009C74F3"/>
    <w:rsid w:val="009D05C8"/>
    <w:rsid w:val="009D50EC"/>
    <w:rsid w:val="009D6444"/>
    <w:rsid w:val="009D6620"/>
    <w:rsid w:val="009E3C0B"/>
    <w:rsid w:val="009F1362"/>
    <w:rsid w:val="00A13244"/>
    <w:rsid w:val="00A132A4"/>
    <w:rsid w:val="00A134F9"/>
    <w:rsid w:val="00A20F3C"/>
    <w:rsid w:val="00A20FCA"/>
    <w:rsid w:val="00A239AA"/>
    <w:rsid w:val="00A25C11"/>
    <w:rsid w:val="00A34948"/>
    <w:rsid w:val="00A439E8"/>
    <w:rsid w:val="00A45753"/>
    <w:rsid w:val="00A53423"/>
    <w:rsid w:val="00A62659"/>
    <w:rsid w:val="00A65F20"/>
    <w:rsid w:val="00A76293"/>
    <w:rsid w:val="00A77DA2"/>
    <w:rsid w:val="00A85D9D"/>
    <w:rsid w:val="00A90C6B"/>
    <w:rsid w:val="00A91DBF"/>
    <w:rsid w:val="00A92C4C"/>
    <w:rsid w:val="00AA602D"/>
    <w:rsid w:val="00AA6D4D"/>
    <w:rsid w:val="00AB572D"/>
    <w:rsid w:val="00AD2A00"/>
    <w:rsid w:val="00AD3316"/>
    <w:rsid w:val="00AD5C6D"/>
    <w:rsid w:val="00AE2923"/>
    <w:rsid w:val="00AE7F9D"/>
    <w:rsid w:val="00AF7D2D"/>
    <w:rsid w:val="00B028F7"/>
    <w:rsid w:val="00B05D17"/>
    <w:rsid w:val="00B22863"/>
    <w:rsid w:val="00B41502"/>
    <w:rsid w:val="00B51024"/>
    <w:rsid w:val="00B60CD8"/>
    <w:rsid w:val="00B60F9C"/>
    <w:rsid w:val="00B6769E"/>
    <w:rsid w:val="00B7346D"/>
    <w:rsid w:val="00B73F22"/>
    <w:rsid w:val="00B76F4D"/>
    <w:rsid w:val="00B76F9A"/>
    <w:rsid w:val="00B810B2"/>
    <w:rsid w:val="00B82B48"/>
    <w:rsid w:val="00B83DE4"/>
    <w:rsid w:val="00B84F6F"/>
    <w:rsid w:val="00B86F30"/>
    <w:rsid w:val="00B8770F"/>
    <w:rsid w:val="00B928F4"/>
    <w:rsid w:val="00B950BA"/>
    <w:rsid w:val="00BA26F7"/>
    <w:rsid w:val="00BA427A"/>
    <w:rsid w:val="00BA79F0"/>
    <w:rsid w:val="00BB5068"/>
    <w:rsid w:val="00BB7AE8"/>
    <w:rsid w:val="00BD0481"/>
    <w:rsid w:val="00BD4447"/>
    <w:rsid w:val="00BE2623"/>
    <w:rsid w:val="00BE3923"/>
    <w:rsid w:val="00BE4BF0"/>
    <w:rsid w:val="00BE5EE5"/>
    <w:rsid w:val="00BE68EE"/>
    <w:rsid w:val="00BE7F63"/>
    <w:rsid w:val="00BF45FB"/>
    <w:rsid w:val="00C03289"/>
    <w:rsid w:val="00C0525B"/>
    <w:rsid w:val="00C123B1"/>
    <w:rsid w:val="00C21071"/>
    <w:rsid w:val="00C2398C"/>
    <w:rsid w:val="00C25569"/>
    <w:rsid w:val="00C27366"/>
    <w:rsid w:val="00C40E45"/>
    <w:rsid w:val="00C4514E"/>
    <w:rsid w:val="00C5027E"/>
    <w:rsid w:val="00C5057E"/>
    <w:rsid w:val="00C52FFC"/>
    <w:rsid w:val="00C5684C"/>
    <w:rsid w:val="00C63AA8"/>
    <w:rsid w:val="00C67D30"/>
    <w:rsid w:val="00C7783C"/>
    <w:rsid w:val="00C842B5"/>
    <w:rsid w:val="00C869AB"/>
    <w:rsid w:val="00CA1097"/>
    <w:rsid w:val="00CA6B58"/>
    <w:rsid w:val="00CB1AE6"/>
    <w:rsid w:val="00CB3ED4"/>
    <w:rsid w:val="00CB3F86"/>
    <w:rsid w:val="00CC5A29"/>
    <w:rsid w:val="00CD34F0"/>
    <w:rsid w:val="00CD3C16"/>
    <w:rsid w:val="00CD5FE7"/>
    <w:rsid w:val="00CE0954"/>
    <w:rsid w:val="00CF11F7"/>
    <w:rsid w:val="00CF2646"/>
    <w:rsid w:val="00D05112"/>
    <w:rsid w:val="00D13212"/>
    <w:rsid w:val="00D1323F"/>
    <w:rsid w:val="00D202BA"/>
    <w:rsid w:val="00D251AC"/>
    <w:rsid w:val="00D25FBF"/>
    <w:rsid w:val="00D3402A"/>
    <w:rsid w:val="00D43766"/>
    <w:rsid w:val="00D47CCF"/>
    <w:rsid w:val="00D56103"/>
    <w:rsid w:val="00D6457B"/>
    <w:rsid w:val="00D66DEC"/>
    <w:rsid w:val="00D71A41"/>
    <w:rsid w:val="00D768A4"/>
    <w:rsid w:val="00D90028"/>
    <w:rsid w:val="00D91E49"/>
    <w:rsid w:val="00D92F52"/>
    <w:rsid w:val="00D93242"/>
    <w:rsid w:val="00DA753F"/>
    <w:rsid w:val="00DC182C"/>
    <w:rsid w:val="00DC5754"/>
    <w:rsid w:val="00DD34A3"/>
    <w:rsid w:val="00DD6056"/>
    <w:rsid w:val="00DE7C6A"/>
    <w:rsid w:val="00DF1BA2"/>
    <w:rsid w:val="00DF2857"/>
    <w:rsid w:val="00DF6EFD"/>
    <w:rsid w:val="00DF782B"/>
    <w:rsid w:val="00E03AEF"/>
    <w:rsid w:val="00E044B9"/>
    <w:rsid w:val="00E102DE"/>
    <w:rsid w:val="00E20DB1"/>
    <w:rsid w:val="00E247A1"/>
    <w:rsid w:val="00E24825"/>
    <w:rsid w:val="00E42093"/>
    <w:rsid w:val="00E45FE0"/>
    <w:rsid w:val="00E4729A"/>
    <w:rsid w:val="00E478C0"/>
    <w:rsid w:val="00E522AD"/>
    <w:rsid w:val="00E64103"/>
    <w:rsid w:val="00E76CD1"/>
    <w:rsid w:val="00E94F07"/>
    <w:rsid w:val="00EA20EC"/>
    <w:rsid w:val="00EA36D7"/>
    <w:rsid w:val="00EB18B9"/>
    <w:rsid w:val="00ED73B0"/>
    <w:rsid w:val="00EE4AD8"/>
    <w:rsid w:val="00F139AC"/>
    <w:rsid w:val="00F1719F"/>
    <w:rsid w:val="00F21EAC"/>
    <w:rsid w:val="00F3243D"/>
    <w:rsid w:val="00F46D0D"/>
    <w:rsid w:val="00F90470"/>
    <w:rsid w:val="00F92B59"/>
    <w:rsid w:val="00F948BC"/>
    <w:rsid w:val="00F94B66"/>
    <w:rsid w:val="00F960CF"/>
    <w:rsid w:val="00FA10A3"/>
    <w:rsid w:val="00FA1226"/>
    <w:rsid w:val="00FA1824"/>
    <w:rsid w:val="00FD09D8"/>
    <w:rsid w:val="00FD1F92"/>
    <w:rsid w:val="00FE2854"/>
    <w:rsid w:val="00FE665B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6A4E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23F9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23F92"/>
    <w:rPr>
      <w:rFonts w:ascii="Trebuchet MS" w:eastAsia="Times New Roman" w:hAnsi="Trebuchet MS" w:cs="Times New Roman"/>
      <w:sz w:val="18"/>
    </w:rPr>
  </w:style>
  <w:style w:type="paragraph" w:customStyle="1" w:styleId="mcntmcntmsonormal">
    <w:name w:val="mcntmcntmsonormal"/>
    <w:basedOn w:val="Normalny"/>
    <w:rsid w:val="0019004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sobodytext2">
    <w:name w:val="mcntmcntmsobodytext2"/>
    <w:basedOn w:val="Normalny"/>
    <w:rsid w:val="0019004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socommenttext">
    <w:name w:val="mcntmcntmsocommenttext"/>
    <w:basedOn w:val="Normalny"/>
    <w:rsid w:val="0019004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346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346D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346D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04109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3155C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82B4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23F9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23F92"/>
    <w:rPr>
      <w:rFonts w:ascii="Trebuchet MS" w:eastAsia="Times New Roman" w:hAnsi="Trebuchet MS" w:cs="Times New Roman"/>
      <w:sz w:val="18"/>
    </w:rPr>
  </w:style>
  <w:style w:type="paragraph" w:customStyle="1" w:styleId="mcntmcntmsonormal">
    <w:name w:val="mcntmcntmsonormal"/>
    <w:basedOn w:val="Normalny"/>
    <w:rsid w:val="0019004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sobodytext2">
    <w:name w:val="mcntmcntmsobodytext2"/>
    <w:basedOn w:val="Normalny"/>
    <w:rsid w:val="0019004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socommenttext">
    <w:name w:val="mcntmcntmsocommenttext"/>
    <w:basedOn w:val="Normalny"/>
    <w:rsid w:val="0019004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346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346D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346D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04109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3155C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82B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7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3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4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finanse.uokik.gov.pl/kredyty-konsumenckie/stanowisko-prezesa-uokik-ws-interpretacji-art-49-ustawy-o-kredycie-konsumenckim-w-kontekscie-wyroku-tsue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uokik.gov.pl/download.php?id=1937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inanse.uokik.gov.pl/kalkulator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uokik.gov.pl/aktualnosci.php?news_id=1576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uokik.gov.pl/download.php?plik=17925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UOKiKgovPL" TargetMode="External"/><Relationship Id="rId2" Type="http://schemas.openxmlformats.org/officeDocument/2006/relationships/hyperlink" Target="mailto:biuroprasowe@uokik.gov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E848A-DC4B-4112-8F96-F91AF1242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Piskorek</dc:creator>
  <cp:lastModifiedBy>Wioleta Fortuna</cp:lastModifiedBy>
  <cp:revision>2</cp:revision>
  <cp:lastPrinted>2020-02-27T14:50:00Z</cp:lastPrinted>
  <dcterms:created xsi:type="dcterms:W3CDTF">2020-07-15T07:22:00Z</dcterms:created>
  <dcterms:modified xsi:type="dcterms:W3CDTF">2020-07-15T07:22:00Z</dcterms:modified>
</cp:coreProperties>
</file>